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D41" w:rsidRDefault="00E32D41" w:rsidP="00E32D41">
      <w:pPr>
        <w:spacing w:before="120"/>
        <w:jc w:val="center"/>
        <w:rPr>
          <w:rFonts w:cs="Arial"/>
          <w:szCs w:val="18"/>
          <w:u w:val="single"/>
        </w:rPr>
      </w:pPr>
      <w:r>
        <w:rPr>
          <w:b/>
          <w:sz w:val="24"/>
          <w:szCs w:val="24"/>
          <w:u w:val="single"/>
        </w:rPr>
        <w:fldChar w:fldCharType="begin">
          <w:ffData>
            <w:name w:val=""/>
            <w:enabled/>
            <w:calcOnExit w:val="0"/>
            <w:textInput>
              <w:default w:val="ESPAÇO PARA COLOCAR O TMBRE DO CONTRATADO/COMPROMISSÁRIO, SE FOR CASO."/>
            </w:textInput>
          </w:ffData>
        </w:fldChar>
      </w:r>
      <w:r>
        <w:rPr>
          <w:b/>
          <w:sz w:val="24"/>
          <w:szCs w:val="24"/>
          <w:u w:val="single"/>
        </w:rPr>
        <w:instrText xml:space="preserve"> FORMTEXT </w:instrText>
      </w:r>
      <w:r>
        <w:rPr>
          <w:b/>
          <w:sz w:val="24"/>
          <w:szCs w:val="24"/>
          <w:u w:val="single"/>
        </w:rPr>
      </w:r>
      <w:r>
        <w:rPr>
          <w:b/>
          <w:sz w:val="24"/>
          <w:szCs w:val="24"/>
          <w:u w:val="single"/>
        </w:rPr>
        <w:fldChar w:fldCharType="separate"/>
      </w:r>
      <w:r>
        <w:rPr>
          <w:b/>
          <w:noProof/>
          <w:sz w:val="24"/>
          <w:szCs w:val="24"/>
          <w:u w:val="single"/>
        </w:rPr>
        <w:t>ESPAÇO PARA COLOCAR O TMBRE DO CONTRATADO/COMPROMISSÁRIO, SE FOR CASO.</w:t>
      </w:r>
      <w:r>
        <w:rPr>
          <w:b/>
          <w:sz w:val="24"/>
          <w:szCs w:val="24"/>
          <w:u w:val="single"/>
        </w:rPr>
        <w:fldChar w:fldCharType="end"/>
      </w:r>
    </w:p>
    <w:p w:rsidR="00E32D41" w:rsidRDefault="00E32D41" w:rsidP="00E32D41">
      <w:pPr>
        <w:spacing w:before="120"/>
        <w:jc w:val="center"/>
        <w:rPr>
          <w:rFonts w:cs="Arial"/>
          <w:szCs w:val="18"/>
          <w:u w:val="single"/>
        </w:rPr>
      </w:pPr>
    </w:p>
    <w:p w:rsidR="00E32D41" w:rsidRPr="00A82769" w:rsidRDefault="00E32D41" w:rsidP="00E32D41">
      <w:pPr>
        <w:spacing w:before="120"/>
        <w:jc w:val="center"/>
        <w:rPr>
          <w:rFonts w:cs="Arial"/>
          <w:b/>
          <w:szCs w:val="18"/>
          <w:u w:val="single"/>
        </w:rPr>
      </w:pPr>
      <w:r w:rsidRPr="00A82769">
        <w:rPr>
          <w:rFonts w:cs="Arial"/>
          <w:szCs w:val="18"/>
          <w:u w:val="single"/>
        </w:rPr>
        <w:fldChar w:fldCharType="begin">
          <w:ffData>
            <w:name w:val=""/>
            <w:enabled/>
            <w:calcOnExit w:val="0"/>
            <w:textInput/>
          </w:ffData>
        </w:fldChar>
      </w:r>
      <w:r w:rsidRPr="00A82769">
        <w:rPr>
          <w:rFonts w:cs="Arial"/>
          <w:szCs w:val="18"/>
          <w:u w:val="single"/>
        </w:rPr>
        <w:instrText xml:space="preserve"> FORMTEXT </w:instrText>
      </w:r>
      <w:r w:rsidRPr="00A82769">
        <w:rPr>
          <w:rFonts w:cs="Arial"/>
          <w:szCs w:val="18"/>
          <w:u w:val="single"/>
        </w:rPr>
      </w:r>
      <w:r w:rsidRPr="00A82769">
        <w:rPr>
          <w:rFonts w:cs="Arial"/>
          <w:szCs w:val="18"/>
          <w:u w:val="single"/>
        </w:rPr>
        <w:fldChar w:fldCharType="separate"/>
      </w:r>
      <w:r w:rsidRPr="00A82769">
        <w:rPr>
          <w:rFonts w:cs="Arial"/>
          <w:b/>
          <w:szCs w:val="18"/>
          <w:u w:val="single"/>
        </w:rPr>
        <w:t xml:space="preserve">COMUNICAÇÃO DE </w:t>
      </w:r>
      <w:r>
        <w:rPr>
          <w:rFonts w:cs="Arial"/>
          <w:b/>
          <w:szCs w:val="18"/>
          <w:u w:val="single"/>
        </w:rPr>
        <w:t>ADOÇÃO DO REGIME DE EXECUÇÃO IN</w:t>
      </w:r>
      <w:r w:rsidRPr="00A82769">
        <w:rPr>
          <w:rFonts w:cs="Arial"/>
          <w:b/>
          <w:szCs w:val="18"/>
          <w:u w:val="single"/>
        </w:rPr>
        <w:t>DIRE</w:t>
      </w:r>
      <w:r>
        <w:rPr>
          <w:rFonts w:cs="Arial"/>
          <w:b/>
          <w:szCs w:val="18"/>
          <w:u w:val="single"/>
        </w:rPr>
        <w:t>TA E ENCAMINHAMENTO DE DOCUMENTAÇÃO RELATIVA AO RESULTADO DO PROCESSO LICITATÓRIO</w:t>
      </w:r>
      <w:r w:rsidRPr="00A82769">
        <w:rPr>
          <w:rFonts w:cs="Arial"/>
          <w:szCs w:val="18"/>
          <w:u w:val="single"/>
        </w:rPr>
        <w:fldChar w:fldCharType="end"/>
      </w:r>
    </w:p>
    <w:p w:rsidR="00E32D41" w:rsidRDefault="00E32D41" w:rsidP="00E32D41">
      <w:pPr>
        <w:rPr>
          <w:rFonts w:cs="Arial"/>
          <w:szCs w:val="18"/>
        </w:rPr>
      </w:pPr>
    </w:p>
    <w:p w:rsidR="00E32D41" w:rsidRDefault="00E32D41" w:rsidP="00E32D41">
      <w:pPr>
        <w:rPr>
          <w:rFonts w:cs="Arial"/>
          <w:szCs w:val="18"/>
        </w:rPr>
      </w:pPr>
    </w:p>
    <w:p w:rsidR="00E32D41" w:rsidRPr="00A82769" w:rsidRDefault="00E32D41" w:rsidP="00E32D41">
      <w:pPr>
        <w:rPr>
          <w:rFonts w:cs="Arial"/>
          <w:szCs w:val="18"/>
        </w:rPr>
      </w:pPr>
    </w:p>
    <w:p w:rsidR="00E32D41" w:rsidRPr="00A82769" w:rsidRDefault="00E32D41" w:rsidP="00E32D41">
      <w:pPr>
        <w:spacing w:before="120"/>
        <w:rPr>
          <w:rFonts w:cs="Arial"/>
          <w:szCs w:val="18"/>
        </w:rPr>
      </w:pPr>
      <w:r w:rsidRPr="00A82769">
        <w:rPr>
          <w:rFonts w:cs="Arial"/>
          <w:szCs w:val="18"/>
        </w:rPr>
        <w:t xml:space="preserve">Ofício nº </w:t>
      </w:r>
      <w:r w:rsidRPr="00A82769">
        <w:rPr>
          <w:rFonts w:cs="Arial"/>
          <w:szCs w:val="18"/>
          <w:u w:val="single"/>
        </w:rPr>
        <w:fldChar w:fldCharType="begin">
          <w:ffData>
            <w:name w:val=""/>
            <w:enabled/>
            <w:calcOnExit w:val="0"/>
            <w:textInput/>
          </w:ffData>
        </w:fldChar>
      </w:r>
      <w:r w:rsidRPr="00A82769">
        <w:rPr>
          <w:rFonts w:cs="Arial"/>
          <w:szCs w:val="18"/>
          <w:u w:val="single"/>
        </w:rPr>
        <w:instrText xml:space="preserve"> FORMTEXT </w:instrText>
      </w:r>
      <w:r w:rsidRPr="00A82769">
        <w:rPr>
          <w:rFonts w:cs="Arial"/>
          <w:szCs w:val="18"/>
          <w:u w:val="single"/>
        </w:rPr>
      </w:r>
      <w:r w:rsidRPr="00A82769">
        <w:rPr>
          <w:rFonts w:cs="Arial"/>
          <w:szCs w:val="18"/>
          <w:u w:val="single"/>
        </w:rPr>
        <w:fldChar w:fldCharType="separate"/>
      </w:r>
      <w:r w:rsidRPr="00A82769">
        <w:rPr>
          <w:rFonts w:cs="Arial"/>
          <w:noProof/>
          <w:szCs w:val="18"/>
          <w:u w:val="single"/>
        </w:rPr>
        <w:t> </w:t>
      </w:r>
      <w:r w:rsidRPr="00A82769">
        <w:rPr>
          <w:rFonts w:cs="Arial"/>
          <w:noProof/>
          <w:szCs w:val="18"/>
          <w:u w:val="single"/>
        </w:rPr>
        <w:t> </w:t>
      </w:r>
      <w:r w:rsidRPr="00A82769">
        <w:rPr>
          <w:rFonts w:cs="Arial"/>
          <w:noProof/>
          <w:szCs w:val="18"/>
          <w:u w:val="single"/>
        </w:rPr>
        <w:t> </w:t>
      </w:r>
      <w:r w:rsidRPr="00A82769">
        <w:rPr>
          <w:rFonts w:cs="Arial"/>
          <w:noProof/>
          <w:szCs w:val="18"/>
          <w:u w:val="single"/>
        </w:rPr>
        <w:t> </w:t>
      </w:r>
      <w:r w:rsidRPr="00A82769">
        <w:rPr>
          <w:rFonts w:cs="Arial"/>
          <w:noProof/>
          <w:szCs w:val="18"/>
          <w:u w:val="single"/>
        </w:rPr>
        <w:t> </w:t>
      </w:r>
      <w:r w:rsidRPr="00A82769">
        <w:rPr>
          <w:rFonts w:cs="Arial"/>
          <w:szCs w:val="18"/>
          <w:u w:val="single"/>
        </w:rPr>
        <w:fldChar w:fldCharType="end"/>
      </w:r>
      <w:r w:rsidRPr="00A82769">
        <w:rPr>
          <w:rFonts w:cs="Arial"/>
          <w:szCs w:val="18"/>
        </w:rPr>
        <w:t>/</w:t>
      </w:r>
      <w:r w:rsidRPr="00A82769">
        <w:rPr>
          <w:rFonts w:cs="Arial"/>
          <w:szCs w:val="18"/>
          <w:u w:val="single"/>
        </w:rPr>
        <w:fldChar w:fldCharType="begin">
          <w:ffData>
            <w:name w:val=""/>
            <w:enabled/>
            <w:calcOnExit w:val="0"/>
            <w:textInput/>
          </w:ffData>
        </w:fldChar>
      </w:r>
      <w:r w:rsidRPr="00A82769">
        <w:rPr>
          <w:rFonts w:cs="Arial"/>
          <w:szCs w:val="18"/>
          <w:u w:val="single"/>
        </w:rPr>
        <w:instrText xml:space="preserve"> FORMTEXT </w:instrText>
      </w:r>
      <w:r w:rsidRPr="00A82769">
        <w:rPr>
          <w:rFonts w:cs="Arial"/>
          <w:szCs w:val="18"/>
          <w:u w:val="single"/>
        </w:rPr>
      </w:r>
      <w:r w:rsidRPr="00A82769">
        <w:rPr>
          <w:rFonts w:cs="Arial"/>
          <w:szCs w:val="18"/>
          <w:u w:val="single"/>
        </w:rPr>
        <w:fldChar w:fldCharType="separate"/>
      </w:r>
      <w:r w:rsidRPr="00A82769">
        <w:rPr>
          <w:rFonts w:cs="Arial"/>
          <w:noProof/>
          <w:szCs w:val="18"/>
          <w:u w:val="single"/>
        </w:rPr>
        <w:t>Ano</w:t>
      </w:r>
      <w:r w:rsidRPr="00A82769">
        <w:rPr>
          <w:rFonts w:cs="Arial"/>
          <w:szCs w:val="18"/>
          <w:u w:val="single"/>
        </w:rPr>
        <w:fldChar w:fldCharType="end"/>
      </w:r>
      <w:r w:rsidRPr="00A82769">
        <w:rPr>
          <w:rFonts w:cs="Arial"/>
          <w:szCs w:val="18"/>
        </w:rPr>
        <w:t>/</w:t>
      </w:r>
      <w:r w:rsidRPr="00A82769">
        <w:rPr>
          <w:rFonts w:cs="Arial"/>
          <w:szCs w:val="18"/>
          <w:u w:val="single"/>
        </w:rPr>
        <w:fldChar w:fldCharType="begin">
          <w:ffData>
            <w:name w:val=""/>
            <w:enabled/>
            <w:calcOnExit w:val="0"/>
            <w:textInput/>
          </w:ffData>
        </w:fldChar>
      </w:r>
      <w:r w:rsidRPr="00A82769">
        <w:rPr>
          <w:rFonts w:cs="Arial"/>
          <w:szCs w:val="18"/>
          <w:u w:val="single"/>
        </w:rPr>
        <w:instrText xml:space="preserve"> FORMTEXT </w:instrText>
      </w:r>
      <w:r w:rsidRPr="00A82769">
        <w:rPr>
          <w:rFonts w:cs="Arial"/>
          <w:szCs w:val="18"/>
          <w:u w:val="single"/>
        </w:rPr>
      </w:r>
      <w:r w:rsidRPr="00A82769">
        <w:rPr>
          <w:rFonts w:cs="Arial"/>
          <w:szCs w:val="18"/>
          <w:u w:val="single"/>
        </w:rPr>
        <w:fldChar w:fldCharType="separate"/>
      </w:r>
      <w:r w:rsidRPr="00A82769">
        <w:rPr>
          <w:rFonts w:cs="Arial"/>
          <w:noProof/>
          <w:szCs w:val="18"/>
          <w:u w:val="single"/>
        </w:rPr>
        <w:t>Sigla da Unidade</w:t>
      </w:r>
      <w:r w:rsidRPr="00A82769">
        <w:rPr>
          <w:rFonts w:cs="Arial"/>
          <w:szCs w:val="18"/>
          <w:u w:val="single"/>
        </w:rPr>
        <w:fldChar w:fldCharType="end"/>
      </w:r>
    </w:p>
    <w:p w:rsidR="00E32D41" w:rsidRPr="00A82769" w:rsidRDefault="00E32D41" w:rsidP="00E32D41">
      <w:pPr>
        <w:spacing w:before="120"/>
        <w:jc w:val="right"/>
        <w:rPr>
          <w:rFonts w:cs="Arial"/>
          <w:szCs w:val="18"/>
        </w:rPr>
      </w:pPr>
      <w:r w:rsidRPr="00A82769">
        <w:rPr>
          <w:rFonts w:cs="Arial"/>
          <w:szCs w:val="18"/>
          <w:u w:val="single"/>
        </w:rPr>
        <w:fldChar w:fldCharType="begin">
          <w:ffData>
            <w:name w:val="Texto6"/>
            <w:enabled/>
            <w:calcOnExit w:val="0"/>
            <w:textInput/>
          </w:ffData>
        </w:fldChar>
      </w:r>
      <w:r w:rsidRPr="00A82769">
        <w:rPr>
          <w:rFonts w:cs="Arial"/>
          <w:szCs w:val="18"/>
          <w:u w:val="single"/>
        </w:rPr>
        <w:instrText xml:space="preserve"> FORMTEXT </w:instrText>
      </w:r>
      <w:r w:rsidRPr="00A82769">
        <w:rPr>
          <w:rFonts w:cs="Arial"/>
          <w:szCs w:val="18"/>
          <w:u w:val="single"/>
        </w:rPr>
      </w:r>
      <w:r w:rsidRPr="00A82769">
        <w:rPr>
          <w:rFonts w:cs="Arial"/>
          <w:szCs w:val="18"/>
          <w:u w:val="single"/>
        </w:rPr>
        <w:fldChar w:fldCharType="separate"/>
      </w:r>
      <w:r w:rsidRPr="00A82769">
        <w:rPr>
          <w:rFonts w:eastAsia="MS Mincho" w:cs="Arial"/>
          <w:noProof/>
          <w:szCs w:val="18"/>
          <w:u w:val="single"/>
        </w:rPr>
        <w:t>Local, data</w:t>
      </w:r>
      <w:r w:rsidRPr="00A82769">
        <w:rPr>
          <w:rFonts w:cs="Arial"/>
          <w:szCs w:val="18"/>
          <w:u w:val="single"/>
        </w:rPr>
        <w:fldChar w:fldCharType="end"/>
      </w:r>
    </w:p>
    <w:p w:rsidR="00E32D41" w:rsidRPr="00A82769" w:rsidRDefault="00E32D41" w:rsidP="00E32D41">
      <w:pPr>
        <w:rPr>
          <w:rFonts w:cs="Arial"/>
          <w:szCs w:val="18"/>
        </w:rPr>
      </w:pPr>
    </w:p>
    <w:p w:rsidR="00E32D41" w:rsidRPr="00A82769" w:rsidRDefault="00E32D41" w:rsidP="00E32D41">
      <w:pPr>
        <w:rPr>
          <w:rFonts w:cs="Arial"/>
          <w:szCs w:val="18"/>
        </w:rPr>
      </w:pPr>
    </w:p>
    <w:p w:rsidR="00E32D41" w:rsidRPr="00A82769" w:rsidRDefault="00E32D41" w:rsidP="00E32D41">
      <w:pPr>
        <w:rPr>
          <w:rFonts w:cs="Arial"/>
          <w:szCs w:val="18"/>
        </w:rPr>
      </w:pPr>
      <w:r w:rsidRPr="00A82769">
        <w:rPr>
          <w:rFonts w:cs="Arial"/>
          <w:szCs w:val="18"/>
        </w:rPr>
        <w:t xml:space="preserve">A Sua Senhoria </w:t>
      </w:r>
      <w:r w:rsidRPr="00A82769">
        <w:rPr>
          <w:rFonts w:cs="Arial"/>
          <w:szCs w:val="18"/>
          <w:u w:val="single"/>
        </w:rPr>
        <w:fldChar w:fldCharType="begin">
          <w:ffData>
            <w:name w:val=""/>
            <w:enabled/>
            <w:calcOnExit w:val="0"/>
            <w:textInput>
              <w:default w:val="o/a Senhor/Senhora"/>
            </w:textInput>
          </w:ffData>
        </w:fldChar>
      </w:r>
      <w:r w:rsidRPr="00A82769">
        <w:rPr>
          <w:rFonts w:cs="Arial"/>
          <w:szCs w:val="18"/>
          <w:u w:val="single"/>
        </w:rPr>
        <w:instrText xml:space="preserve"> FORMTEXT </w:instrText>
      </w:r>
      <w:r w:rsidRPr="00A82769">
        <w:rPr>
          <w:rFonts w:cs="Arial"/>
          <w:szCs w:val="18"/>
          <w:u w:val="single"/>
        </w:rPr>
      </w:r>
      <w:r w:rsidRPr="00A82769">
        <w:rPr>
          <w:rFonts w:cs="Arial"/>
          <w:szCs w:val="18"/>
          <w:u w:val="single"/>
        </w:rPr>
        <w:fldChar w:fldCharType="separate"/>
      </w:r>
      <w:r w:rsidRPr="00A82769">
        <w:rPr>
          <w:rFonts w:cs="Arial"/>
          <w:noProof/>
          <w:szCs w:val="18"/>
          <w:u w:val="single"/>
        </w:rPr>
        <w:t>o/a Senhor/Senhora</w:t>
      </w:r>
      <w:r w:rsidRPr="00A82769">
        <w:rPr>
          <w:rFonts w:cs="Arial"/>
          <w:szCs w:val="18"/>
          <w:u w:val="single"/>
        </w:rPr>
        <w:fldChar w:fldCharType="end"/>
      </w:r>
    </w:p>
    <w:p w:rsidR="00E32D41" w:rsidRPr="00A82769" w:rsidRDefault="00E32D41" w:rsidP="00E32D41">
      <w:pPr>
        <w:rPr>
          <w:rFonts w:cs="Arial"/>
          <w:szCs w:val="18"/>
          <w:u w:val="single"/>
        </w:rPr>
      </w:pPr>
      <w:r w:rsidRPr="00A82769">
        <w:rPr>
          <w:rFonts w:cs="Arial"/>
          <w:szCs w:val="18"/>
          <w:u w:val="single"/>
        </w:rPr>
        <w:fldChar w:fldCharType="begin">
          <w:ffData>
            <w:name w:val=""/>
            <w:enabled/>
            <w:calcOnExit w:val="0"/>
            <w:textInput/>
          </w:ffData>
        </w:fldChar>
      </w:r>
      <w:r w:rsidRPr="00A82769">
        <w:rPr>
          <w:rFonts w:cs="Arial"/>
          <w:szCs w:val="18"/>
          <w:u w:val="single"/>
        </w:rPr>
        <w:instrText xml:space="preserve"> FORMTEXT </w:instrText>
      </w:r>
      <w:r w:rsidRPr="00A82769">
        <w:rPr>
          <w:rFonts w:cs="Arial"/>
          <w:szCs w:val="18"/>
          <w:u w:val="single"/>
        </w:rPr>
      </w:r>
      <w:r w:rsidRPr="00A82769">
        <w:rPr>
          <w:rFonts w:cs="Arial"/>
          <w:szCs w:val="18"/>
          <w:u w:val="single"/>
        </w:rPr>
        <w:fldChar w:fldCharType="separate"/>
      </w:r>
      <w:r w:rsidRPr="00A82769">
        <w:rPr>
          <w:rFonts w:cs="Arial"/>
          <w:noProof/>
          <w:szCs w:val="18"/>
          <w:u w:val="single"/>
        </w:rPr>
        <w:t>Nome</w:t>
      </w:r>
      <w:r w:rsidRPr="00A82769">
        <w:rPr>
          <w:rFonts w:cs="Arial"/>
          <w:szCs w:val="18"/>
          <w:u w:val="single"/>
        </w:rPr>
        <w:fldChar w:fldCharType="end"/>
      </w:r>
    </w:p>
    <w:p w:rsidR="00E32D41" w:rsidRPr="00A82769" w:rsidRDefault="00E32D41" w:rsidP="00E32D41">
      <w:pPr>
        <w:rPr>
          <w:rFonts w:cs="Arial"/>
          <w:szCs w:val="18"/>
        </w:rPr>
      </w:pPr>
      <w:r w:rsidRPr="00A82769">
        <w:rPr>
          <w:rFonts w:cs="Arial"/>
          <w:szCs w:val="18"/>
          <w:u w:val="single"/>
        </w:rPr>
        <w:fldChar w:fldCharType="begin">
          <w:ffData>
            <w:name w:val=""/>
            <w:enabled/>
            <w:calcOnExit w:val="0"/>
            <w:textInput/>
          </w:ffData>
        </w:fldChar>
      </w:r>
      <w:r w:rsidRPr="00A82769">
        <w:rPr>
          <w:rFonts w:cs="Arial"/>
          <w:szCs w:val="18"/>
          <w:u w:val="single"/>
        </w:rPr>
        <w:instrText xml:space="preserve"> FORMTEXT </w:instrText>
      </w:r>
      <w:r w:rsidRPr="00A82769">
        <w:rPr>
          <w:rFonts w:cs="Arial"/>
          <w:szCs w:val="18"/>
          <w:u w:val="single"/>
        </w:rPr>
      </w:r>
      <w:r w:rsidRPr="00A82769">
        <w:rPr>
          <w:rFonts w:cs="Arial"/>
          <w:szCs w:val="18"/>
          <w:u w:val="single"/>
        </w:rPr>
        <w:fldChar w:fldCharType="separate"/>
      </w:r>
      <w:r w:rsidRPr="00A82769">
        <w:rPr>
          <w:rFonts w:cs="Arial"/>
          <w:noProof/>
          <w:szCs w:val="18"/>
          <w:u w:val="single"/>
        </w:rPr>
        <w:t>Cargo</w:t>
      </w:r>
      <w:r w:rsidRPr="00A82769">
        <w:rPr>
          <w:rFonts w:cs="Arial"/>
          <w:szCs w:val="18"/>
          <w:u w:val="single"/>
        </w:rPr>
        <w:fldChar w:fldCharType="end"/>
      </w:r>
    </w:p>
    <w:p w:rsidR="00E32D41" w:rsidRDefault="00E32D41" w:rsidP="00E32D41">
      <w:pPr>
        <w:rPr>
          <w:rFonts w:cs="Arial"/>
          <w:szCs w:val="18"/>
        </w:rPr>
      </w:pPr>
      <w:r w:rsidRPr="00A82769">
        <w:rPr>
          <w:rFonts w:cs="Arial"/>
          <w:szCs w:val="18"/>
        </w:rPr>
        <w:t xml:space="preserve">Caixa Econômica Federal </w:t>
      </w:r>
    </w:p>
    <w:p w:rsidR="00E32D41" w:rsidRPr="00A82769" w:rsidRDefault="00E32D41" w:rsidP="00E32D41">
      <w:pPr>
        <w:rPr>
          <w:rFonts w:cs="Arial"/>
          <w:szCs w:val="18"/>
        </w:rPr>
      </w:pPr>
    </w:p>
    <w:p w:rsidR="00E32D41" w:rsidRPr="00286620" w:rsidRDefault="00E32D41" w:rsidP="00E32D41">
      <w:pPr>
        <w:spacing w:before="120"/>
        <w:jc w:val="both"/>
        <w:rPr>
          <w:rFonts w:cs="Arial"/>
          <w:b/>
          <w:bCs/>
          <w:szCs w:val="18"/>
        </w:rPr>
      </w:pPr>
      <w:r w:rsidRPr="00A82769">
        <w:rPr>
          <w:rFonts w:cs="Arial"/>
          <w:szCs w:val="18"/>
        </w:rPr>
        <w:t xml:space="preserve">Assunto: </w:t>
      </w:r>
      <w:r w:rsidRPr="000B73B0">
        <w:rPr>
          <w:rFonts w:cs="Arial"/>
          <w:b/>
          <w:szCs w:val="18"/>
        </w:rPr>
        <w:t>Comunicaç</w:t>
      </w:r>
      <w:r>
        <w:rPr>
          <w:rFonts w:cs="Arial"/>
          <w:b/>
          <w:szCs w:val="18"/>
        </w:rPr>
        <w:t>ão de</w:t>
      </w:r>
      <w:r w:rsidRPr="000B73B0">
        <w:rPr>
          <w:rFonts w:cs="Arial"/>
          <w:b/>
          <w:szCs w:val="18"/>
        </w:rPr>
        <w:t xml:space="preserve"> adoç</w:t>
      </w:r>
      <w:r>
        <w:rPr>
          <w:rFonts w:cs="Arial"/>
          <w:b/>
          <w:szCs w:val="18"/>
        </w:rPr>
        <w:t>ão do</w:t>
      </w:r>
      <w:r w:rsidRPr="000B73B0">
        <w:rPr>
          <w:rFonts w:cs="Arial"/>
          <w:b/>
          <w:szCs w:val="18"/>
        </w:rPr>
        <w:t xml:space="preserve"> Regime de Execução</w:t>
      </w:r>
      <w:r>
        <w:rPr>
          <w:rFonts w:cs="Arial"/>
          <w:b/>
          <w:szCs w:val="18"/>
        </w:rPr>
        <w:t xml:space="preserve"> Indireta</w:t>
      </w:r>
      <w:r w:rsidRPr="000B73B0">
        <w:rPr>
          <w:rFonts w:cs="Arial"/>
          <w:b/>
          <w:szCs w:val="18"/>
        </w:rPr>
        <w:t xml:space="preserve"> </w:t>
      </w:r>
      <w:r>
        <w:rPr>
          <w:rFonts w:cs="Arial"/>
          <w:b/>
          <w:szCs w:val="18"/>
        </w:rPr>
        <w:t>e encaminhamento de documentação relativa ao resultado do processo licitatório do</w:t>
      </w:r>
      <w:r w:rsidRPr="000B73B0">
        <w:rPr>
          <w:rFonts w:cs="Arial"/>
          <w:b/>
          <w:szCs w:val="18"/>
        </w:rPr>
        <w:t xml:space="preserve"> </w:t>
      </w:r>
      <w:r>
        <w:rPr>
          <w:rFonts w:cs="Arial"/>
          <w:b/>
          <w:bCs/>
        </w:rPr>
        <w:fldChar w:fldCharType="begin">
          <w:ffData>
            <w:name w:val=""/>
            <w:enabled/>
            <w:calcOnExit w:val="0"/>
            <w:textInput>
              <w:default w:val="Contrato de Repasse /Contrato de Transferência/Termo de Compromisso "/>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xml:space="preserve">Contrato de Repasse /Contrato de Transferência/Termo de Compromisso </w:t>
      </w:r>
      <w:r>
        <w:rPr>
          <w:rFonts w:cs="Arial"/>
          <w:b/>
          <w:bCs/>
        </w:rPr>
        <w:fldChar w:fldCharType="end"/>
      </w:r>
      <w:r>
        <w:rPr>
          <w:rFonts w:cs="Arial"/>
          <w:b/>
          <w:bCs/>
        </w:rPr>
        <w:t xml:space="preserve"> n° </w:t>
      </w:r>
      <w:bookmarkStart w:id="0" w:name="Texto54"/>
      <w:r>
        <w:rPr>
          <w:szCs w:val="18"/>
          <w:u w:val="single"/>
        </w:rPr>
        <w:fldChar w:fldCharType="begin">
          <w:ffData>
            <w:name w:val="Texto54"/>
            <w:enabled/>
            <w:calcOnExit w:val="0"/>
            <w:textInput/>
          </w:ffData>
        </w:fldChar>
      </w:r>
      <w:r>
        <w:rPr>
          <w:szCs w:val="18"/>
          <w:u w:val="single"/>
        </w:rPr>
        <w:instrText xml:space="preserve"> 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bookmarkEnd w:id="0"/>
      <w:r>
        <w:rPr>
          <w:szCs w:val="18"/>
          <w:u w:val="single"/>
        </w:rPr>
        <w:t>.</w:t>
      </w:r>
    </w:p>
    <w:p w:rsidR="00E32D41" w:rsidRPr="00A82769" w:rsidRDefault="00E32D41" w:rsidP="00E32D41">
      <w:pPr>
        <w:rPr>
          <w:rFonts w:cs="Arial"/>
          <w:szCs w:val="18"/>
        </w:rPr>
      </w:pPr>
    </w:p>
    <w:p w:rsidR="00E32D41" w:rsidRPr="00A82769" w:rsidRDefault="00E32D41" w:rsidP="00E32D41">
      <w:pPr>
        <w:rPr>
          <w:rFonts w:cs="Arial"/>
          <w:szCs w:val="18"/>
        </w:rPr>
      </w:pPr>
    </w:p>
    <w:p w:rsidR="00E32D41" w:rsidRPr="00A82769" w:rsidRDefault="00E32D41" w:rsidP="00E32D41">
      <w:pPr>
        <w:rPr>
          <w:rFonts w:cs="Arial"/>
          <w:szCs w:val="18"/>
        </w:rPr>
      </w:pPr>
      <w:r w:rsidRPr="00A82769">
        <w:rPr>
          <w:rFonts w:cs="Arial"/>
          <w:szCs w:val="18"/>
        </w:rPr>
        <w:t>Senhor Gerente,</w:t>
      </w:r>
    </w:p>
    <w:p w:rsidR="00E32D41" w:rsidRPr="00A82769" w:rsidRDefault="00E32D41" w:rsidP="00E32D41">
      <w:pPr>
        <w:rPr>
          <w:rFonts w:cs="Arial"/>
          <w:szCs w:val="18"/>
        </w:rPr>
      </w:pPr>
    </w:p>
    <w:p w:rsidR="00E32D41" w:rsidRDefault="00E32D41" w:rsidP="00E32D41">
      <w:pPr>
        <w:autoSpaceDE w:val="0"/>
        <w:autoSpaceDN w:val="0"/>
        <w:adjustRightInd w:val="0"/>
        <w:jc w:val="both"/>
        <w:rPr>
          <w:rFonts w:cs="Arial"/>
          <w:szCs w:val="18"/>
        </w:rPr>
      </w:pPr>
      <w:r w:rsidRPr="004C2DBC">
        <w:rPr>
          <w:rFonts w:cs="Arial"/>
          <w:szCs w:val="18"/>
        </w:rPr>
        <w:t>1</w:t>
      </w:r>
      <w:r>
        <w:rPr>
          <w:rFonts w:cs="Arial"/>
          <w:szCs w:val="18"/>
        </w:rPr>
        <w:t>.</w:t>
      </w:r>
      <w:r w:rsidRPr="004C2DBC">
        <w:rPr>
          <w:rFonts w:cs="Arial"/>
          <w:szCs w:val="18"/>
        </w:rPr>
        <w:tab/>
        <w:t xml:space="preserve">Informamos que </w:t>
      </w:r>
      <w:r>
        <w:rPr>
          <w:rFonts w:cs="Arial"/>
          <w:szCs w:val="18"/>
          <w:u w:val="single"/>
        </w:rPr>
        <w:fldChar w:fldCharType="begin">
          <w:ffData>
            <w:name w:val=""/>
            <w:enabled/>
            <w:calcOnExit w:val="0"/>
            <w:textInput>
              <w:default w:val="a(s) meta(s)/o objeto"/>
            </w:textInput>
          </w:ffData>
        </w:fldChar>
      </w:r>
      <w:r>
        <w:rPr>
          <w:rFonts w:cs="Arial"/>
          <w:szCs w:val="18"/>
          <w:u w:val="single"/>
        </w:rPr>
        <w:instrText xml:space="preserve"> FORMTEXT </w:instrText>
      </w:r>
      <w:r>
        <w:rPr>
          <w:rFonts w:cs="Arial"/>
          <w:szCs w:val="18"/>
          <w:u w:val="single"/>
        </w:rPr>
      </w:r>
      <w:r>
        <w:rPr>
          <w:rFonts w:cs="Arial"/>
          <w:szCs w:val="18"/>
          <w:u w:val="single"/>
        </w:rPr>
        <w:fldChar w:fldCharType="separate"/>
      </w:r>
      <w:r>
        <w:rPr>
          <w:rFonts w:cs="Arial"/>
          <w:noProof/>
          <w:szCs w:val="18"/>
          <w:u w:val="single"/>
        </w:rPr>
        <w:t>a(s) meta(s)/o objeto</w:t>
      </w:r>
      <w:r>
        <w:rPr>
          <w:rFonts w:cs="Arial"/>
          <w:szCs w:val="18"/>
          <w:u w:val="single"/>
        </w:rPr>
        <w:fldChar w:fldCharType="end"/>
      </w:r>
      <w:r w:rsidRPr="004C2DBC">
        <w:rPr>
          <w:rFonts w:cs="Arial"/>
          <w:szCs w:val="18"/>
        </w:rPr>
        <w:t xml:space="preserve"> do </w:t>
      </w:r>
      <w:r>
        <w:rPr>
          <w:rFonts w:cs="Arial"/>
          <w:u w:val="single"/>
        </w:rPr>
        <w:fldChar w:fldCharType="begin">
          <w:ffData>
            <w:name w:val=""/>
            <w:enabled/>
            <w:calcOnExit w:val="0"/>
            <w:textInput>
              <w:default w:val="Contrato de Repasse/Contrato de Transferência/Termo de Compromisso"/>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Contrato de Repasse/Contrato de Transferência/Termo de Compromisso</w:t>
      </w:r>
      <w:r>
        <w:rPr>
          <w:rFonts w:cs="Arial"/>
          <w:u w:val="single"/>
        </w:rPr>
        <w:fldChar w:fldCharType="end"/>
      </w:r>
      <w:r>
        <w:rPr>
          <w:rFonts w:cs="Arial"/>
          <w:u w:val="single"/>
        </w:rPr>
        <w:t xml:space="preserve"> n° </w:t>
      </w:r>
      <w:r>
        <w:rPr>
          <w:szCs w:val="18"/>
          <w:u w:val="single"/>
        </w:rPr>
        <w:fldChar w:fldCharType="begin">
          <w:ffData>
            <w:name w:val=""/>
            <w:enabled/>
            <w:calcOnExit w:val="0"/>
            <w:textInput/>
          </w:ffData>
        </w:fldChar>
      </w:r>
      <w:r>
        <w:rPr>
          <w:szCs w:val="18"/>
          <w:u w:val="single"/>
        </w:rPr>
        <w:instrText xml:space="preserve"> FORMTEXT </w:instrText>
      </w:r>
      <w:r>
        <w:rPr>
          <w:szCs w:val="18"/>
          <w:u w:val="single"/>
        </w:rPr>
      </w:r>
      <w:r>
        <w:rPr>
          <w:szCs w:val="18"/>
          <w:u w:val="single"/>
        </w:rPr>
        <w:fldChar w:fldCharType="separate"/>
      </w:r>
      <w:r>
        <w:rPr>
          <w:noProof/>
          <w:szCs w:val="18"/>
          <w:u w:val="single"/>
        </w:rPr>
        <w:t> </w:t>
      </w:r>
      <w:r>
        <w:rPr>
          <w:noProof/>
          <w:szCs w:val="18"/>
          <w:u w:val="single"/>
        </w:rPr>
        <w:t> </w:t>
      </w:r>
      <w:r>
        <w:rPr>
          <w:noProof/>
          <w:szCs w:val="18"/>
          <w:u w:val="single"/>
        </w:rPr>
        <w:t> </w:t>
      </w:r>
      <w:r>
        <w:rPr>
          <w:noProof/>
          <w:szCs w:val="18"/>
          <w:u w:val="single"/>
        </w:rPr>
        <w:t> </w:t>
      </w:r>
      <w:r>
        <w:rPr>
          <w:noProof/>
          <w:szCs w:val="18"/>
          <w:u w:val="single"/>
        </w:rPr>
        <w:t> </w:t>
      </w:r>
      <w:r>
        <w:rPr>
          <w:szCs w:val="18"/>
          <w:u w:val="single"/>
        </w:rPr>
        <w:fldChar w:fldCharType="end"/>
      </w:r>
      <w:r w:rsidRPr="004C2DBC">
        <w:rPr>
          <w:rFonts w:cs="Arial"/>
          <w:szCs w:val="18"/>
        </w:rPr>
        <w:t xml:space="preserve">do </w:t>
      </w:r>
      <w:r>
        <w:rPr>
          <w:rFonts w:cs="Arial"/>
          <w:szCs w:val="18"/>
          <w:u w:val="single"/>
        </w:rPr>
        <w:fldChar w:fldCharType="begin">
          <w:ffData>
            <w:name w:val=""/>
            <w:enabled/>
            <w:calcOnExit w:val="0"/>
            <w:textInput>
              <w:default w:val="Município/Estado"/>
            </w:textInput>
          </w:ffData>
        </w:fldChar>
      </w:r>
      <w:r>
        <w:rPr>
          <w:rFonts w:cs="Arial"/>
          <w:szCs w:val="18"/>
          <w:u w:val="single"/>
        </w:rPr>
        <w:instrText xml:space="preserve"> FORMTEXT </w:instrText>
      </w:r>
      <w:r>
        <w:rPr>
          <w:rFonts w:cs="Arial"/>
          <w:szCs w:val="18"/>
          <w:u w:val="single"/>
        </w:rPr>
      </w:r>
      <w:r>
        <w:rPr>
          <w:rFonts w:cs="Arial"/>
          <w:szCs w:val="18"/>
          <w:u w:val="single"/>
        </w:rPr>
        <w:fldChar w:fldCharType="separate"/>
      </w:r>
      <w:r>
        <w:rPr>
          <w:rFonts w:cs="Arial"/>
          <w:noProof/>
          <w:szCs w:val="18"/>
          <w:u w:val="single"/>
        </w:rPr>
        <w:t>Município/Estado</w:t>
      </w:r>
      <w:r>
        <w:rPr>
          <w:rFonts w:cs="Arial"/>
          <w:szCs w:val="18"/>
          <w:u w:val="single"/>
        </w:rPr>
        <w:fldChar w:fldCharType="end"/>
      </w:r>
      <w:r>
        <w:rPr>
          <w:rFonts w:cs="Arial"/>
          <w:szCs w:val="18"/>
        </w:rPr>
        <w:t xml:space="preserve"> </w:t>
      </w:r>
      <w:r w:rsidRPr="00A82769">
        <w:rPr>
          <w:rFonts w:cs="Arial"/>
          <w:szCs w:val="18"/>
        </w:rPr>
        <w:t xml:space="preserve">serão executados em </w:t>
      </w:r>
      <w:r>
        <w:rPr>
          <w:rFonts w:cs="Arial"/>
          <w:szCs w:val="18"/>
        </w:rPr>
        <w:t>Regime de Execução Indireta</w:t>
      </w:r>
    </w:p>
    <w:p w:rsidR="00E32D41" w:rsidRPr="00A82769" w:rsidRDefault="00E32D41" w:rsidP="00E32D41">
      <w:pPr>
        <w:rPr>
          <w:rFonts w:cs="Arial"/>
          <w:szCs w:val="18"/>
        </w:rPr>
      </w:pPr>
    </w:p>
    <w:p w:rsidR="00E32D41" w:rsidRPr="00A82769" w:rsidRDefault="00E32D41" w:rsidP="00E32D41">
      <w:pPr>
        <w:spacing w:before="120"/>
        <w:jc w:val="both"/>
        <w:rPr>
          <w:rFonts w:cs="Arial"/>
          <w:szCs w:val="18"/>
        </w:rPr>
      </w:pPr>
      <w:r w:rsidRPr="00A82769">
        <w:rPr>
          <w:rFonts w:cs="Arial"/>
          <w:szCs w:val="18"/>
        </w:rPr>
        <w:t xml:space="preserve">2. </w:t>
      </w:r>
      <w:r w:rsidRPr="00A82769">
        <w:rPr>
          <w:rFonts w:cs="Arial"/>
          <w:szCs w:val="18"/>
        </w:rPr>
        <w:tab/>
        <w:t>Para atendimento aos dispositivos legais, encaminhamos a seguinte documentação:</w:t>
      </w:r>
    </w:p>
    <w:p w:rsidR="00E32D41" w:rsidRPr="00A82769" w:rsidRDefault="00E32D41" w:rsidP="00E32D41">
      <w:pPr>
        <w:rPr>
          <w:rFonts w:cs="Arial"/>
          <w:szCs w:val="18"/>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134"/>
        <w:gridCol w:w="1134"/>
        <w:gridCol w:w="1528"/>
      </w:tblGrid>
      <w:tr w:rsidR="00E32D41" w:rsidRPr="00A82769" w:rsidTr="006375D5">
        <w:trPr>
          <w:cantSplit/>
          <w:trHeight w:val="567"/>
          <w:tblHeader/>
        </w:trPr>
        <w:tc>
          <w:tcPr>
            <w:tcW w:w="10000" w:type="dxa"/>
            <w:gridSpan w:val="4"/>
            <w:shd w:val="clear" w:color="auto" w:fill="auto"/>
            <w:vAlign w:val="center"/>
          </w:tcPr>
          <w:p w:rsidR="00E32D41" w:rsidRPr="00A82769" w:rsidRDefault="00E32D41" w:rsidP="007D4D11">
            <w:pPr>
              <w:keepLines/>
              <w:spacing w:before="60"/>
              <w:jc w:val="center"/>
              <w:rPr>
                <w:rFonts w:cs="Arial"/>
                <w:b/>
                <w:szCs w:val="18"/>
              </w:rPr>
            </w:pPr>
            <w:r>
              <w:rPr>
                <w:rFonts w:cs="Arial"/>
                <w:b/>
                <w:szCs w:val="18"/>
              </w:rPr>
              <w:t>DOCUMENTOS RELATIVOS AO RESULTADO DO PROCESSO LICITATÓRIO</w:t>
            </w:r>
          </w:p>
        </w:tc>
      </w:tr>
      <w:tr w:rsidR="00E32D41" w:rsidRPr="00A82769" w:rsidTr="007F0CCD">
        <w:trPr>
          <w:cantSplit/>
          <w:trHeight w:val="547"/>
        </w:trPr>
        <w:tc>
          <w:tcPr>
            <w:tcW w:w="6204" w:type="dxa"/>
            <w:shd w:val="clear" w:color="auto" w:fill="auto"/>
            <w:vAlign w:val="center"/>
          </w:tcPr>
          <w:p w:rsidR="00E32D41" w:rsidRPr="006375D5" w:rsidRDefault="006375D5" w:rsidP="007F0CCD">
            <w:pPr>
              <w:pStyle w:val="Default"/>
              <w:jc w:val="both"/>
              <w:rPr>
                <w:sz w:val="18"/>
                <w:szCs w:val="18"/>
              </w:rPr>
            </w:pPr>
            <w:r>
              <w:rPr>
                <w:sz w:val="18"/>
                <w:szCs w:val="18"/>
              </w:rPr>
              <w:t xml:space="preserve">Ofícios de Documentação Relativa à Forma de Execução e de Encaminhamento de Documentação Relativa ao Processo Licitatório </w:t>
            </w:r>
            <w:r w:rsidR="00096F3B">
              <w:rPr>
                <w:sz w:val="18"/>
                <w:szCs w:val="18"/>
              </w:rPr>
              <w:t>(MO28068)</w:t>
            </w:r>
          </w:p>
        </w:tc>
        <w:tc>
          <w:tcPr>
            <w:tcW w:w="113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541"/>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 xml:space="preserve">Licitação por Pregão Presencial (Lei nº 10.520/2002) - Publicação do extrato do edital: no DOU ou no Diário Oficial do Estado/DF (DOE)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571"/>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 xml:space="preserve">Demais processos licitatórios – Publicação do extrato do edital: no DOU (obras/compras e serviços)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551"/>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 xml:space="preserve">Justificativa para a dispensa ou inexigibilidade de licitação e comprovação da publicidade legal dada ao caso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559"/>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 xml:space="preserve">CTEF firmado com a empresa vencedora do Processo Licitatório, ou documento que o substitua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411"/>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 xml:space="preserve">Cronograma Físico-Financeiro da proposta vencedora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417"/>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 xml:space="preserve">Orçamento da proposta vencedora (MO27476)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410"/>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 xml:space="preserve">Publicação do extrato do CTEF ou instrumento que o substitua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9B5C0E" w:rsidTr="007F0CCD">
        <w:trPr>
          <w:cantSplit/>
          <w:trHeight w:val="408"/>
        </w:trPr>
        <w:tc>
          <w:tcPr>
            <w:tcW w:w="6204" w:type="dxa"/>
            <w:shd w:val="clear" w:color="auto" w:fill="auto"/>
            <w:vAlign w:val="center"/>
          </w:tcPr>
          <w:p w:rsidR="007F0CCD" w:rsidRPr="006375D5" w:rsidRDefault="00096F3B" w:rsidP="00EE4A25">
            <w:pPr>
              <w:pStyle w:val="Default"/>
              <w:jc w:val="both"/>
              <w:rPr>
                <w:sz w:val="18"/>
                <w:szCs w:val="18"/>
              </w:rPr>
            </w:pPr>
            <w:r>
              <w:rPr>
                <w:sz w:val="18"/>
                <w:szCs w:val="18"/>
              </w:rPr>
              <w:t xml:space="preserve">Publicação do ato de homologação da licitação (IN MPDG nº 002/2018)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EE4A25">
        <w:trPr>
          <w:cantSplit/>
          <w:trHeight w:val="616"/>
        </w:trPr>
        <w:tc>
          <w:tcPr>
            <w:tcW w:w="6204" w:type="dxa"/>
            <w:shd w:val="clear" w:color="auto" w:fill="auto"/>
            <w:vAlign w:val="center"/>
          </w:tcPr>
          <w:p w:rsidR="006375D5" w:rsidRPr="006375D5" w:rsidRDefault="00096F3B" w:rsidP="00EE4A25">
            <w:pPr>
              <w:pStyle w:val="Default"/>
              <w:jc w:val="both"/>
              <w:rPr>
                <w:sz w:val="18"/>
                <w:szCs w:val="18"/>
              </w:rPr>
            </w:pPr>
            <w:r>
              <w:rPr>
                <w:sz w:val="18"/>
                <w:szCs w:val="18"/>
              </w:rPr>
              <w:t xml:space="preserve">Publicação do despacho de adjudicação da licitação (IN MPDG nº 002/2018)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FC2FCC">
        <w:trPr>
          <w:cantSplit/>
          <w:trHeight w:val="1259"/>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Declaração firmada pelo Contratado ou seu representante legal, desde que comprovada delegação de poderes, atestando que a licitação ou o processo de dispensa, quando for o caso, atendeu às formalidades e requisitos dispostos na legislação vigente, inclusive quanto à forma de publicação</w:t>
            </w:r>
            <w:r w:rsidR="00FC2FCC">
              <w:rPr>
                <w:sz w:val="18"/>
                <w:szCs w:val="18"/>
              </w:rPr>
              <w:t xml:space="preserve"> e ao Decreto nº 7.983/2013</w:t>
            </w:r>
            <w:r>
              <w:rPr>
                <w:sz w:val="18"/>
                <w:szCs w:val="18"/>
              </w:rPr>
              <w:t xml:space="preserve"> (MO28063)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961"/>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lastRenderedPageBreak/>
              <w:t xml:space="preserve">Declaração emitida pelo Contratado ou pela empresa vencedora da licitação, atestando que esta não possui em seu quadro societário servidor público da ativa, ou empregado de empresa pública ou de sociedade de economia mista, do órgão celebrante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054D3F">
        <w:trPr>
          <w:cantSplit/>
          <w:trHeight w:val="692"/>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 xml:space="preserve">No caso de alteração da data base indicada na análise de engenharia, declaração que indique a nova data, assinada pelo representante legal do Tomador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990"/>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PLE – “</w:t>
            </w:r>
            <w:bookmarkStart w:id="1" w:name="_GoBack"/>
            <w:bookmarkEnd w:id="1"/>
            <w:proofErr w:type="spellStart"/>
            <w:r>
              <w:rPr>
                <w:sz w:val="18"/>
                <w:szCs w:val="18"/>
              </w:rPr>
              <w:t>Eventograma</w:t>
            </w:r>
            <w:proofErr w:type="spellEnd"/>
            <w:r>
              <w:rPr>
                <w:sz w:val="18"/>
                <w:szCs w:val="18"/>
              </w:rPr>
              <w:t xml:space="preserve"> e Quantitativos” (MO27477), em conformidade com a planilha orçamentária da proposta vencedora da licitação conforme opção do Tomador e apenas para obras contratadas nos regimes de empreitada por preço global, empreitada integral e contratação integrada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835"/>
        </w:trPr>
        <w:tc>
          <w:tcPr>
            <w:tcW w:w="6204" w:type="dxa"/>
            <w:shd w:val="clear" w:color="auto" w:fill="auto"/>
            <w:vAlign w:val="center"/>
          </w:tcPr>
          <w:p w:rsidR="006375D5" w:rsidRPr="006375D5" w:rsidRDefault="006375D5" w:rsidP="007F0CCD">
            <w:pPr>
              <w:pStyle w:val="Default"/>
              <w:jc w:val="both"/>
              <w:rPr>
                <w:sz w:val="18"/>
                <w:szCs w:val="18"/>
              </w:rPr>
            </w:pPr>
            <w:r>
              <w:rPr>
                <w:sz w:val="18"/>
                <w:szCs w:val="18"/>
              </w:rPr>
              <w:t xml:space="preserve">Ordem de execução do serviço ou outra forma de autorização de início definida no CTEF, admitida prorrogação da exigência até a primeira solicitação de desbloqueio de recursos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A94B73">
        <w:trPr>
          <w:cantSplit/>
          <w:trHeight w:val="1403"/>
        </w:trPr>
        <w:tc>
          <w:tcPr>
            <w:tcW w:w="6204" w:type="dxa"/>
            <w:shd w:val="clear" w:color="auto" w:fill="auto"/>
            <w:vAlign w:val="center"/>
          </w:tcPr>
          <w:p w:rsidR="006375D5" w:rsidRDefault="00A94B73" w:rsidP="007F0CCD">
            <w:pPr>
              <w:pStyle w:val="Default"/>
              <w:jc w:val="both"/>
              <w:rPr>
                <w:sz w:val="18"/>
                <w:szCs w:val="18"/>
              </w:rPr>
            </w:pPr>
            <w:r>
              <w:rPr>
                <w:sz w:val="18"/>
                <w:szCs w:val="18"/>
              </w:rPr>
              <w:t>D</w:t>
            </w:r>
            <w:r w:rsidR="006375D5">
              <w:rPr>
                <w:sz w:val="18"/>
                <w:szCs w:val="18"/>
              </w:rPr>
              <w:t>eclaração de capacidade técnica indicando o(s) servidor(es) que acompanha(m) a obra/ serviço de engenharia</w:t>
            </w:r>
            <w:r>
              <w:rPr>
                <w:sz w:val="18"/>
                <w:szCs w:val="18"/>
              </w:rPr>
              <w:t>.</w:t>
            </w:r>
          </w:p>
          <w:p w:rsidR="00A94B73" w:rsidRPr="006375D5" w:rsidRDefault="00A94B73" w:rsidP="007F0CCD">
            <w:pPr>
              <w:pStyle w:val="Default"/>
              <w:jc w:val="both"/>
              <w:rPr>
                <w:sz w:val="18"/>
                <w:szCs w:val="18"/>
              </w:rPr>
            </w:pPr>
            <w:r>
              <w:rPr>
                <w:sz w:val="18"/>
                <w:szCs w:val="18"/>
              </w:rPr>
              <w:t>A declaração de capacidade técnica deve indicar que o Tomador possui as condições físicas, operacionais, técnicas e gerenciais para a execução e fiscalização da obra/serviço de engenharia e não se confunde com a ART/RRT de fiscalização</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6375D5" w:rsidRPr="00A82769" w:rsidTr="007F0CCD">
        <w:trPr>
          <w:cantSplit/>
          <w:trHeight w:val="560"/>
        </w:trPr>
        <w:tc>
          <w:tcPr>
            <w:tcW w:w="6204" w:type="dxa"/>
            <w:shd w:val="clear" w:color="auto" w:fill="auto"/>
            <w:vAlign w:val="center"/>
          </w:tcPr>
          <w:p w:rsidR="006375D5" w:rsidRPr="007F0CCD" w:rsidRDefault="007F0CCD" w:rsidP="007F0CCD">
            <w:pPr>
              <w:pStyle w:val="Default"/>
              <w:jc w:val="both"/>
              <w:rPr>
                <w:sz w:val="18"/>
                <w:szCs w:val="18"/>
              </w:rPr>
            </w:pPr>
            <w:r>
              <w:rPr>
                <w:sz w:val="18"/>
                <w:szCs w:val="18"/>
              </w:rPr>
              <w:t xml:space="preserve">QCI atualizado (MO41211), conforme a Planilha Orçamentária da proposta vencedora da licitação </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34"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28" w:type="dxa"/>
            <w:shd w:val="clear" w:color="auto" w:fill="auto"/>
            <w:vAlign w:val="center"/>
          </w:tcPr>
          <w:p w:rsidR="006375D5" w:rsidRPr="00C104FB" w:rsidRDefault="006375D5" w:rsidP="006375D5">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bl>
    <w:p w:rsidR="00A94B73" w:rsidRDefault="00A94B73" w:rsidP="00E32D41">
      <w:pPr>
        <w:spacing w:before="120"/>
        <w:jc w:val="both"/>
        <w:rPr>
          <w:rFonts w:cs="Arial"/>
          <w:b/>
          <w:szCs w:val="18"/>
          <w:u w:val="single"/>
        </w:rPr>
      </w:pPr>
    </w:p>
    <w:p w:rsidR="00E32D41" w:rsidRDefault="00E32D41" w:rsidP="00E32D41">
      <w:pPr>
        <w:spacing w:before="120"/>
        <w:jc w:val="both"/>
        <w:rPr>
          <w:rFonts w:cs="Arial"/>
          <w:b/>
          <w:noProof/>
          <w:szCs w:val="18"/>
          <w:u w:val="single"/>
        </w:rPr>
      </w:pPr>
      <w:r w:rsidRPr="00A82769">
        <w:rPr>
          <w:rFonts w:cs="Arial"/>
          <w:b/>
          <w:szCs w:val="18"/>
          <w:u w:val="single"/>
        </w:rPr>
        <w:fldChar w:fldCharType="begin">
          <w:ffData>
            <w:name w:val="Texto54"/>
            <w:enabled/>
            <w:calcOnExit w:val="0"/>
            <w:textInput>
              <w:maxLength w:val="2"/>
            </w:textInput>
          </w:ffData>
        </w:fldChar>
      </w:r>
      <w:r w:rsidRPr="00A82769">
        <w:rPr>
          <w:rFonts w:cs="Arial"/>
          <w:b/>
          <w:szCs w:val="18"/>
          <w:u w:val="single"/>
        </w:rPr>
        <w:instrText xml:space="preserve"> FORMTEXT </w:instrText>
      </w:r>
      <w:r w:rsidRPr="00A82769">
        <w:rPr>
          <w:rFonts w:cs="Arial"/>
          <w:b/>
          <w:szCs w:val="18"/>
          <w:u w:val="single"/>
        </w:rPr>
      </w:r>
      <w:r w:rsidRPr="00A82769">
        <w:rPr>
          <w:rFonts w:cs="Arial"/>
          <w:b/>
          <w:szCs w:val="18"/>
          <w:u w:val="single"/>
        </w:rPr>
        <w:fldChar w:fldCharType="separate"/>
      </w:r>
      <w:r>
        <w:rPr>
          <w:rFonts w:cs="Arial"/>
          <w:b/>
          <w:noProof/>
          <w:szCs w:val="18"/>
          <w:u w:val="single"/>
        </w:rPr>
        <w:t>N</w:t>
      </w:r>
      <w:r w:rsidRPr="00A82769">
        <w:rPr>
          <w:rFonts w:cs="Arial"/>
          <w:b/>
          <w:noProof/>
          <w:szCs w:val="18"/>
          <w:u w:val="single"/>
        </w:rPr>
        <w:t xml:space="preserve">O CASO DE UTILIZAÇÃO DE SRP PARA AQUISIÇÃO DE ITENS QUANTIFICÁVEIS, </w:t>
      </w:r>
      <w:r>
        <w:rPr>
          <w:rFonts w:cs="Arial"/>
          <w:b/>
          <w:szCs w:val="18"/>
          <w:u w:val="single"/>
        </w:rPr>
        <w:t xml:space="preserve">ALÉM DA DOCUMENTAÇÃO </w:t>
      </w:r>
      <w:r w:rsidRPr="00A82769">
        <w:rPr>
          <w:rFonts w:cs="Arial"/>
          <w:b/>
          <w:szCs w:val="18"/>
          <w:u w:val="single"/>
        </w:rPr>
        <w:t>ACIMA, ENCAMINHAR TAMBÉM</w:t>
      </w:r>
      <w:r>
        <w:rPr>
          <w:rFonts w:cs="Arial"/>
          <w:b/>
          <w:szCs w:val="18"/>
          <w:u w:val="single"/>
        </w:rPr>
        <w:t>:</w:t>
      </w:r>
    </w:p>
    <w:p w:rsidR="00E32D41" w:rsidRDefault="00E32D41" w:rsidP="00E32D41">
      <w:pPr>
        <w:spacing w:before="120"/>
        <w:jc w:val="both"/>
        <w:rPr>
          <w:rFonts w:cs="Arial"/>
          <w:b/>
          <w:szCs w:val="18"/>
          <w:u w:val="single"/>
        </w:rPr>
      </w:pPr>
      <w:r w:rsidRPr="00A82769">
        <w:rPr>
          <w:rFonts w:cs="Arial"/>
          <w:b/>
          <w:szCs w:val="18"/>
          <w:u w:val="single"/>
        </w:rPr>
        <w:fldChar w:fldCharType="end"/>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1124"/>
        <w:gridCol w:w="1124"/>
        <w:gridCol w:w="1519"/>
      </w:tblGrid>
      <w:tr w:rsidR="00E32D41" w:rsidRPr="00A82769" w:rsidTr="00054D3F">
        <w:trPr>
          <w:trHeight w:val="567"/>
          <w:tblHeader/>
        </w:trPr>
        <w:tc>
          <w:tcPr>
            <w:tcW w:w="9891" w:type="dxa"/>
            <w:gridSpan w:val="4"/>
            <w:shd w:val="clear" w:color="auto" w:fill="auto"/>
            <w:vAlign w:val="center"/>
          </w:tcPr>
          <w:p w:rsidR="00E32D41" w:rsidRPr="00A82769" w:rsidRDefault="00E32D41" w:rsidP="007D4D11">
            <w:pPr>
              <w:keepLines/>
              <w:spacing w:before="60"/>
              <w:jc w:val="center"/>
              <w:rPr>
                <w:rFonts w:cs="Arial"/>
                <w:b/>
                <w:szCs w:val="18"/>
              </w:rPr>
            </w:pPr>
            <w:r>
              <w:rPr>
                <w:rFonts w:cs="Arial"/>
                <w:b/>
                <w:szCs w:val="18"/>
              </w:rPr>
              <w:t>SISTEMA DE REGISTRO DE PREÇOS –SRP</w:t>
            </w:r>
          </w:p>
        </w:tc>
      </w:tr>
      <w:tr w:rsidR="00E32D41" w:rsidRPr="00A82769" w:rsidTr="00054D3F">
        <w:trPr>
          <w:trHeight w:val="518"/>
        </w:trPr>
        <w:tc>
          <w:tcPr>
            <w:tcW w:w="612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rPr>
              <w:t>Declaração de inexistência de lei municipal ou estadual que vede ou de alguma forma condicione a adesão ao SRP.</w:t>
            </w:r>
          </w:p>
        </w:tc>
        <w:tc>
          <w:tcPr>
            <w:tcW w:w="112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2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19"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E32D41" w:rsidRPr="00A82769" w:rsidTr="00054D3F">
        <w:trPr>
          <w:trHeight w:val="554"/>
        </w:trPr>
        <w:tc>
          <w:tcPr>
            <w:tcW w:w="6124" w:type="dxa"/>
            <w:shd w:val="clear" w:color="auto" w:fill="auto"/>
            <w:vAlign w:val="center"/>
          </w:tcPr>
          <w:p w:rsidR="00E32D41" w:rsidRPr="00C104FB" w:rsidRDefault="00E32D41" w:rsidP="007D4D11">
            <w:pPr>
              <w:keepLines/>
              <w:rPr>
                <w:rFonts w:cs="Arial"/>
                <w:szCs w:val="18"/>
              </w:rPr>
            </w:pPr>
            <w:r w:rsidRPr="00C104FB">
              <w:rPr>
                <w:rFonts w:cs="Arial"/>
                <w:szCs w:val="18"/>
              </w:rPr>
              <w:t>Anuência do órgão que efetuou o processo licitatório, acompanhado da indicação dos fornecedores e preços.</w:t>
            </w:r>
          </w:p>
        </w:tc>
        <w:tc>
          <w:tcPr>
            <w:tcW w:w="112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2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19"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E32D41" w:rsidRPr="00A82769" w:rsidTr="00054D3F">
        <w:trPr>
          <w:trHeight w:val="421"/>
        </w:trPr>
        <w:tc>
          <w:tcPr>
            <w:tcW w:w="612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rPr>
              <w:t>Ata de Registro de Preços.</w:t>
            </w:r>
          </w:p>
        </w:tc>
        <w:tc>
          <w:tcPr>
            <w:tcW w:w="112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2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19"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E32D41" w:rsidRPr="00A82769" w:rsidTr="00054D3F">
        <w:trPr>
          <w:trHeight w:val="410"/>
        </w:trPr>
        <w:tc>
          <w:tcPr>
            <w:tcW w:w="6124" w:type="dxa"/>
            <w:shd w:val="clear" w:color="auto" w:fill="auto"/>
            <w:vAlign w:val="center"/>
          </w:tcPr>
          <w:p w:rsidR="00E32D41" w:rsidRPr="00C104FB" w:rsidRDefault="00E32D41" w:rsidP="007D4D11">
            <w:pPr>
              <w:keepLines/>
              <w:spacing w:before="60"/>
              <w:rPr>
                <w:rFonts w:cs="Arial"/>
                <w:szCs w:val="18"/>
              </w:rPr>
            </w:pPr>
            <w:r w:rsidRPr="001F1D0E">
              <w:rPr>
                <w:rFonts w:cs="Arial"/>
                <w:szCs w:val="18"/>
              </w:rPr>
              <w:t xml:space="preserve">Declaração de justificativa de </w:t>
            </w:r>
            <w:proofErr w:type="spellStart"/>
            <w:r w:rsidRPr="001F1D0E">
              <w:rPr>
                <w:rFonts w:cs="Arial"/>
                <w:szCs w:val="18"/>
              </w:rPr>
              <w:t>vantajosidade</w:t>
            </w:r>
            <w:proofErr w:type="spellEnd"/>
            <w:r w:rsidRPr="001F1D0E">
              <w:rPr>
                <w:rFonts w:cs="Arial"/>
                <w:szCs w:val="18"/>
              </w:rPr>
              <w:t xml:space="preserve"> das adesões.</w:t>
            </w:r>
          </w:p>
        </w:tc>
        <w:tc>
          <w:tcPr>
            <w:tcW w:w="112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24"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19" w:type="dxa"/>
            <w:shd w:val="clear" w:color="auto" w:fill="auto"/>
            <w:vAlign w:val="center"/>
          </w:tcPr>
          <w:p w:rsidR="00E32D41" w:rsidRPr="00C104FB" w:rsidRDefault="00E32D41" w:rsidP="007D4D11">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r w:rsidR="00FC2FCC" w:rsidRPr="00A82769" w:rsidTr="00054D3F">
        <w:trPr>
          <w:trHeight w:val="410"/>
        </w:trPr>
        <w:tc>
          <w:tcPr>
            <w:tcW w:w="6124" w:type="dxa"/>
            <w:shd w:val="clear" w:color="auto" w:fill="auto"/>
            <w:vAlign w:val="center"/>
          </w:tcPr>
          <w:p w:rsidR="00FC2FCC" w:rsidRPr="006375D5" w:rsidRDefault="00FC2FCC" w:rsidP="00FC2FCC">
            <w:pPr>
              <w:pStyle w:val="Default"/>
              <w:jc w:val="both"/>
              <w:rPr>
                <w:sz w:val="18"/>
                <w:szCs w:val="18"/>
              </w:rPr>
            </w:pPr>
            <w:r>
              <w:rPr>
                <w:sz w:val="18"/>
                <w:szCs w:val="18"/>
              </w:rPr>
              <w:t xml:space="preserve">Formalização de adesão à Ata </w:t>
            </w:r>
          </w:p>
        </w:tc>
        <w:tc>
          <w:tcPr>
            <w:tcW w:w="1124" w:type="dxa"/>
            <w:shd w:val="clear" w:color="auto" w:fill="auto"/>
            <w:vAlign w:val="center"/>
          </w:tcPr>
          <w:p w:rsidR="00FC2FCC" w:rsidRPr="00C104FB" w:rsidRDefault="00FC2FCC" w:rsidP="00FC2FCC">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Sim</w:t>
            </w:r>
          </w:p>
        </w:tc>
        <w:tc>
          <w:tcPr>
            <w:tcW w:w="1124" w:type="dxa"/>
            <w:shd w:val="clear" w:color="auto" w:fill="auto"/>
            <w:vAlign w:val="center"/>
          </w:tcPr>
          <w:p w:rsidR="00FC2FCC" w:rsidRPr="00C104FB" w:rsidRDefault="00FC2FCC" w:rsidP="00FC2FCC">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w:t>
            </w:r>
          </w:p>
        </w:tc>
        <w:tc>
          <w:tcPr>
            <w:tcW w:w="1519" w:type="dxa"/>
            <w:shd w:val="clear" w:color="auto" w:fill="auto"/>
            <w:vAlign w:val="center"/>
          </w:tcPr>
          <w:p w:rsidR="00FC2FCC" w:rsidRPr="00C104FB" w:rsidRDefault="00FC2FCC" w:rsidP="00FC2FCC">
            <w:pPr>
              <w:keepLines/>
              <w:spacing w:before="60"/>
              <w:rPr>
                <w:rFonts w:cs="Arial"/>
                <w:szCs w:val="18"/>
              </w:rPr>
            </w:pPr>
            <w:r w:rsidRPr="00C104FB">
              <w:rPr>
                <w:rFonts w:cs="Arial"/>
                <w:szCs w:val="18"/>
                <w:bdr w:val="single" w:sz="4" w:space="0" w:color="auto"/>
              </w:rPr>
              <w:fldChar w:fldCharType="begin">
                <w:ffData>
                  <w:name w:val=""/>
                  <w:enabled/>
                  <w:calcOnExit w:val="0"/>
                  <w:textInput>
                    <w:maxLength w:val="1"/>
                  </w:textInput>
                </w:ffData>
              </w:fldChar>
            </w:r>
            <w:r w:rsidRPr="00C104FB">
              <w:rPr>
                <w:rFonts w:cs="Arial"/>
                <w:szCs w:val="18"/>
                <w:bdr w:val="single" w:sz="4" w:space="0" w:color="auto"/>
              </w:rPr>
              <w:instrText xml:space="preserve"> FORMTEXT </w:instrText>
            </w:r>
            <w:r w:rsidRPr="00C104FB">
              <w:rPr>
                <w:rFonts w:cs="Arial"/>
                <w:szCs w:val="18"/>
                <w:bdr w:val="single" w:sz="4" w:space="0" w:color="auto"/>
              </w:rPr>
            </w:r>
            <w:r w:rsidRPr="00C104FB">
              <w:rPr>
                <w:rFonts w:cs="Arial"/>
                <w:szCs w:val="18"/>
                <w:bdr w:val="single" w:sz="4" w:space="0" w:color="auto"/>
              </w:rPr>
              <w:fldChar w:fldCharType="separate"/>
            </w:r>
            <w:r w:rsidRPr="00C104FB">
              <w:rPr>
                <w:rFonts w:cs="Arial"/>
                <w:noProof/>
                <w:szCs w:val="18"/>
                <w:bdr w:val="single" w:sz="4" w:space="0" w:color="auto"/>
              </w:rPr>
              <w:t> </w:t>
            </w:r>
            <w:r w:rsidRPr="00C104FB">
              <w:rPr>
                <w:rFonts w:cs="Arial"/>
                <w:szCs w:val="18"/>
                <w:bdr w:val="single" w:sz="4" w:space="0" w:color="auto"/>
              </w:rPr>
              <w:fldChar w:fldCharType="end"/>
            </w:r>
            <w:r>
              <w:rPr>
                <w:rFonts w:cs="Arial"/>
                <w:szCs w:val="18"/>
              </w:rPr>
              <w:t xml:space="preserve"> </w:t>
            </w:r>
            <w:r w:rsidRPr="00C104FB">
              <w:rPr>
                <w:rFonts w:cs="Arial"/>
                <w:szCs w:val="18"/>
              </w:rPr>
              <w:t>Não se aplica</w:t>
            </w:r>
          </w:p>
        </w:tc>
      </w:tr>
    </w:tbl>
    <w:p w:rsidR="00E32D41" w:rsidRDefault="00E32D41" w:rsidP="00E32D41">
      <w:pPr>
        <w:rPr>
          <w:rFonts w:cs="Arial"/>
          <w:szCs w:val="18"/>
        </w:rPr>
      </w:pPr>
    </w:p>
    <w:p w:rsidR="00E32D41" w:rsidRPr="00A82769" w:rsidRDefault="00E32D41" w:rsidP="00E32D41">
      <w:pPr>
        <w:spacing w:before="120"/>
        <w:jc w:val="both"/>
        <w:rPr>
          <w:rFonts w:cs="Arial"/>
          <w:szCs w:val="18"/>
        </w:rPr>
      </w:pPr>
      <w:r w:rsidRPr="00A82769">
        <w:rPr>
          <w:rFonts w:cs="Arial"/>
          <w:szCs w:val="18"/>
        </w:rPr>
        <w:t>3.</w:t>
      </w:r>
      <w:r w:rsidRPr="00A82769">
        <w:rPr>
          <w:rFonts w:cs="Arial"/>
          <w:szCs w:val="18"/>
        </w:rPr>
        <w:tab/>
        <w:t>Declaro, sob as penas da Lei, que os documentos encaminhados estão em conformidade com a legislação vigente.</w:t>
      </w:r>
    </w:p>
    <w:p w:rsidR="00E32D41" w:rsidRPr="00A82769" w:rsidRDefault="00E32D41" w:rsidP="00E32D41">
      <w:pPr>
        <w:rPr>
          <w:rFonts w:cs="Arial"/>
          <w:szCs w:val="18"/>
        </w:rPr>
      </w:pPr>
    </w:p>
    <w:p w:rsidR="00E32D41" w:rsidRPr="00A82769" w:rsidRDefault="00E32D41" w:rsidP="00E32D41">
      <w:pPr>
        <w:rPr>
          <w:rFonts w:cs="Arial"/>
          <w:szCs w:val="18"/>
        </w:rPr>
      </w:pPr>
    </w:p>
    <w:p w:rsidR="00E32D41" w:rsidRPr="00A82769" w:rsidRDefault="00E32D41" w:rsidP="00E32D41">
      <w:pPr>
        <w:spacing w:before="120"/>
        <w:rPr>
          <w:rFonts w:cs="Arial"/>
          <w:szCs w:val="18"/>
        </w:rPr>
      </w:pPr>
      <w:r w:rsidRPr="00A82769">
        <w:rPr>
          <w:rFonts w:cs="Arial"/>
          <w:szCs w:val="18"/>
        </w:rPr>
        <w:t>Atenciosamente,</w:t>
      </w:r>
    </w:p>
    <w:p w:rsidR="00E32D41" w:rsidRPr="00A82769" w:rsidRDefault="00E32D41" w:rsidP="00E32D41">
      <w:pPr>
        <w:rPr>
          <w:rFonts w:cs="Arial"/>
          <w:szCs w:val="18"/>
        </w:rPr>
      </w:pPr>
    </w:p>
    <w:p w:rsidR="00E32D41" w:rsidRPr="00A82769" w:rsidRDefault="00E32D41" w:rsidP="00E32D41">
      <w:pPr>
        <w:rPr>
          <w:rFonts w:cs="Arial"/>
          <w:szCs w:val="18"/>
        </w:rPr>
      </w:pPr>
    </w:p>
    <w:p w:rsidR="00E32D41" w:rsidRPr="00A82769" w:rsidRDefault="00E32D41" w:rsidP="00E32D41">
      <w:pPr>
        <w:rPr>
          <w:rFonts w:cs="Arial"/>
          <w:szCs w:val="18"/>
        </w:rPr>
      </w:pPr>
    </w:p>
    <w:p w:rsidR="00E32D41" w:rsidRPr="00A82769" w:rsidRDefault="00E32D41" w:rsidP="00E32D41">
      <w:pPr>
        <w:spacing w:before="120"/>
        <w:jc w:val="center"/>
        <w:rPr>
          <w:rFonts w:cs="Arial"/>
          <w:szCs w:val="18"/>
          <w:u w:val="single"/>
        </w:rPr>
      </w:pPr>
      <w:r w:rsidRPr="00A82769">
        <w:rPr>
          <w:rFonts w:cs="Arial"/>
          <w:szCs w:val="18"/>
          <w:u w:val="single"/>
        </w:rPr>
        <w:fldChar w:fldCharType="begin">
          <w:ffData>
            <w:name w:val=""/>
            <w:enabled/>
            <w:calcOnExit w:val="0"/>
            <w:textInput>
              <w:default w:val="Assinatura do Prefeito/Representante Legal (Contratado/Compromissário)"/>
            </w:textInput>
          </w:ffData>
        </w:fldChar>
      </w:r>
      <w:r w:rsidRPr="00A82769">
        <w:rPr>
          <w:rFonts w:cs="Arial"/>
          <w:szCs w:val="18"/>
          <w:u w:val="single"/>
        </w:rPr>
        <w:instrText xml:space="preserve"> FORMTEXT </w:instrText>
      </w:r>
      <w:r w:rsidRPr="00A82769">
        <w:rPr>
          <w:rFonts w:cs="Arial"/>
          <w:szCs w:val="18"/>
          <w:u w:val="single"/>
        </w:rPr>
      </w:r>
      <w:r w:rsidRPr="00A82769">
        <w:rPr>
          <w:rFonts w:cs="Arial"/>
          <w:szCs w:val="18"/>
          <w:u w:val="single"/>
        </w:rPr>
        <w:fldChar w:fldCharType="separate"/>
      </w:r>
      <w:r w:rsidRPr="00A82769">
        <w:rPr>
          <w:rFonts w:cs="Arial"/>
          <w:noProof/>
          <w:szCs w:val="18"/>
          <w:u w:val="single"/>
        </w:rPr>
        <w:t>ASSINATURA DO COMPROMISSÁRIO</w:t>
      </w:r>
      <w:r>
        <w:rPr>
          <w:rFonts w:cs="Arial"/>
          <w:noProof/>
          <w:szCs w:val="18"/>
          <w:u w:val="single"/>
        </w:rPr>
        <w:t>/INTERVENIENTE EXECUTOR/</w:t>
      </w:r>
      <w:r w:rsidRPr="00A82769">
        <w:rPr>
          <w:rFonts w:cs="Arial"/>
          <w:noProof/>
          <w:szCs w:val="18"/>
          <w:u w:val="single"/>
        </w:rPr>
        <w:t>REPRESENTANTE LEGAL</w:t>
      </w:r>
      <w:r w:rsidRPr="00A82769">
        <w:rPr>
          <w:rFonts w:cs="Arial"/>
          <w:szCs w:val="18"/>
          <w:u w:val="single"/>
        </w:rPr>
        <w:fldChar w:fldCharType="end"/>
      </w:r>
    </w:p>
    <w:p w:rsidR="00E32D41" w:rsidRPr="00A82769" w:rsidRDefault="00E32D41" w:rsidP="00E32D41">
      <w:pPr>
        <w:spacing w:before="120"/>
        <w:jc w:val="center"/>
        <w:rPr>
          <w:rFonts w:cs="Arial"/>
          <w:szCs w:val="18"/>
        </w:rPr>
      </w:pPr>
      <w:r w:rsidRPr="00A82769">
        <w:rPr>
          <w:rFonts w:cs="Arial"/>
          <w:szCs w:val="18"/>
          <w:u w:val="single"/>
        </w:rPr>
        <w:fldChar w:fldCharType="begin">
          <w:ffData>
            <w:name w:val=""/>
            <w:enabled/>
            <w:calcOnExit w:val="0"/>
            <w:textInput/>
          </w:ffData>
        </w:fldChar>
      </w:r>
      <w:r w:rsidRPr="00A82769">
        <w:rPr>
          <w:rFonts w:cs="Arial"/>
          <w:szCs w:val="18"/>
          <w:u w:val="single"/>
        </w:rPr>
        <w:instrText xml:space="preserve"> FORMTEXT </w:instrText>
      </w:r>
      <w:r w:rsidRPr="00A82769">
        <w:rPr>
          <w:rFonts w:cs="Arial"/>
          <w:szCs w:val="18"/>
          <w:u w:val="single"/>
        </w:rPr>
      </w:r>
      <w:r w:rsidRPr="00A82769">
        <w:rPr>
          <w:rFonts w:cs="Arial"/>
          <w:szCs w:val="18"/>
          <w:u w:val="single"/>
        </w:rPr>
        <w:fldChar w:fldCharType="separate"/>
      </w:r>
      <w:r w:rsidRPr="00A82769">
        <w:rPr>
          <w:rFonts w:cs="Arial"/>
          <w:noProof/>
          <w:szCs w:val="18"/>
          <w:u w:val="single"/>
        </w:rPr>
        <w:t>Cargo/Função</w:t>
      </w:r>
      <w:r w:rsidRPr="00A82769">
        <w:rPr>
          <w:rFonts w:cs="Arial"/>
          <w:szCs w:val="18"/>
          <w:u w:val="single"/>
        </w:rPr>
        <w:fldChar w:fldCharType="end"/>
      </w:r>
    </w:p>
    <w:p w:rsidR="00E32D41" w:rsidRPr="00A82769" w:rsidRDefault="00E32D41" w:rsidP="00E32D41">
      <w:pPr>
        <w:spacing w:before="120"/>
        <w:rPr>
          <w:rFonts w:cs="Arial"/>
          <w:szCs w:val="18"/>
        </w:rPr>
      </w:pPr>
    </w:p>
    <w:p w:rsidR="00E32D41" w:rsidRPr="004D3D24" w:rsidRDefault="00E32D41" w:rsidP="00E32D41">
      <w:pPr>
        <w:jc w:val="both"/>
      </w:pPr>
    </w:p>
    <w:p w:rsidR="00F5297B" w:rsidRDefault="00EE4A25"/>
    <w:sectPr w:rsidR="00F5297B" w:rsidSect="00054D3F">
      <w:pgSz w:w="11907" w:h="16840" w:code="9"/>
      <w:pgMar w:top="1077" w:right="1077" w:bottom="1077" w:left="1077" w:header="0" w:footer="0" w:gutter="0"/>
      <w:cols w:space="720"/>
      <w:formProt w:val="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19D" w:rsidRDefault="003E419D" w:rsidP="00054D3F">
      <w:r>
        <w:separator/>
      </w:r>
    </w:p>
  </w:endnote>
  <w:endnote w:type="continuationSeparator" w:id="0">
    <w:p w:rsidR="003E419D" w:rsidRDefault="003E419D" w:rsidP="0005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19D" w:rsidRDefault="003E419D" w:rsidP="00054D3F">
      <w:r>
        <w:separator/>
      </w:r>
    </w:p>
  </w:footnote>
  <w:footnote w:type="continuationSeparator" w:id="0">
    <w:p w:rsidR="003E419D" w:rsidRDefault="003E419D" w:rsidP="00054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41"/>
    <w:rsid w:val="00054D3F"/>
    <w:rsid w:val="000766AF"/>
    <w:rsid w:val="00096F3B"/>
    <w:rsid w:val="000D7DB9"/>
    <w:rsid w:val="003E419D"/>
    <w:rsid w:val="006375D5"/>
    <w:rsid w:val="00727B5B"/>
    <w:rsid w:val="00730B12"/>
    <w:rsid w:val="007F0CCD"/>
    <w:rsid w:val="008630DF"/>
    <w:rsid w:val="008E1A16"/>
    <w:rsid w:val="00A94B73"/>
    <w:rsid w:val="00E32D41"/>
    <w:rsid w:val="00EE4A25"/>
    <w:rsid w:val="00FC2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8A2E2"/>
  <w15:chartTrackingRefBased/>
  <w15:docId w15:val="{4B4FA636-3F8B-4A17-931D-FA278800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D41"/>
    <w:pPr>
      <w:spacing w:after="0" w:line="240" w:lineRule="auto"/>
    </w:pPr>
    <w:rPr>
      <w:rFonts w:ascii="Arial" w:eastAsia="Times New Roman" w:hAnsi="Arial" w:cs="Times New Roman"/>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375D5"/>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054D3F"/>
    <w:pPr>
      <w:tabs>
        <w:tab w:val="center" w:pos="4252"/>
        <w:tab w:val="right" w:pos="8504"/>
      </w:tabs>
    </w:pPr>
  </w:style>
  <w:style w:type="character" w:customStyle="1" w:styleId="CabealhoChar">
    <w:name w:val="Cabeçalho Char"/>
    <w:basedOn w:val="Fontepargpadro"/>
    <w:link w:val="Cabealho"/>
    <w:uiPriority w:val="99"/>
    <w:rsid w:val="00054D3F"/>
    <w:rPr>
      <w:rFonts w:ascii="Arial" w:eastAsia="Times New Roman" w:hAnsi="Arial" w:cs="Times New Roman"/>
      <w:sz w:val="18"/>
      <w:szCs w:val="20"/>
      <w:lang w:eastAsia="pt-BR"/>
    </w:rPr>
  </w:style>
  <w:style w:type="paragraph" w:styleId="Rodap">
    <w:name w:val="footer"/>
    <w:basedOn w:val="Normal"/>
    <w:link w:val="RodapChar"/>
    <w:uiPriority w:val="99"/>
    <w:unhideWhenUsed/>
    <w:rsid w:val="00054D3F"/>
    <w:pPr>
      <w:tabs>
        <w:tab w:val="center" w:pos="4252"/>
        <w:tab w:val="right" w:pos="8504"/>
      </w:tabs>
    </w:pPr>
  </w:style>
  <w:style w:type="character" w:customStyle="1" w:styleId="RodapChar">
    <w:name w:val="Rodapé Char"/>
    <w:basedOn w:val="Fontepargpadro"/>
    <w:link w:val="Rodap"/>
    <w:uiPriority w:val="99"/>
    <w:rsid w:val="00054D3F"/>
    <w:rPr>
      <w:rFonts w:ascii="Arial" w:eastAsia="Times New Roman" w:hAnsi="Arial" w:cs="Times New Roman"/>
      <w:sz w:val="1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922</Words>
  <Characters>4984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Neves Abreu</dc:creator>
  <cp:keywords/>
  <dc:description/>
  <cp:lastModifiedBy>Erica Neves Abreu</cp:lastModifiedBy>
  <cp:revision>9</cp:revision>
  <dcterms:created xsi:type="dcterms:W3CDTF">2019-07-30T16:50:00Z</dcterms:created>
  <dcterms:modified xsi:type="dcterms:W3CDTF">2020-04-06T19:21:00Z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e7aacd-7cc4-4c31-9e6f-7ef306428f09_Enabled">
    <vt:lpwstr>True</vt:lpwstr>
  </property>
  <property fmtid="{D5CDD505-2E9C-101B-9397-08002B2CF9AE}" pid="3" name="MSIP_Label_fde7aacd-7cc4-4c31-9e6f-7ef306428f09_SiteId">
    <vt:lpwstr>ab9bba98-684a-43fb-add8-9c2bebede229</vt:lpwstr>
  </property>
  <property fmtid="{D5CDD505-2E9C-101B-9397-08002B2CF9AE}" pid="4" name="MSIP_Label_fde7aacd-7cc4-4c31-9e6f-7ef306428f09_Owner">
    <vt:lpwstr>c062470@corp.caixa.gov.br</vt:lpwstr>
  </property>
  <property fmtid="{D5CDD505-2E9C-101B-9397-08002B2CF9AE}" pid="5" name="MSIP_Label_fde7aacd-7cc4-4c31-9e6f-7ef306428f09_SetDate">
    <vt:lpwstr>2020-04-06T19:21:54.2317010Z</vt:lpwstr>
  </property>
  <property fmtid="{D5CDD505-2E9C-101B-9397-08002B2CF9AE}" pid="6" name="MSIP_Label_fde7aacd-7cc4-4c31-9e6f-7ef306428f09_Name">
    <vt:lpwstr>#PUBLICO</vt:lpwstr>
  </property>
  <property fmtid="{D5CDD505-2E9C-101B-9397-08002B2CF9AE}" pid="7" name="MSIP_Label_fde7aacd-7cc4-4c31-9e6f-7ef306428f09_Application">
    <vt:lpwstr>Microsoft Azure Information Protection</vt:lpwstr>
  </property>
  <property fmtid="{D5CDD505-2E9C-101B-9397-08002B2CF9AE}" pid="8" name="MSIP_Label_fde7aacd-7cc4-4c31-9e6f-7ef306428f09_ActionId">
    <vt:lpwstr>847ce22c-77d8-483b-90a6-369b84ae4bea</vt:lpwstr>
  </property>
  <property fmtid="{D5CDD505-2E9C-101B-9397-08002B2CF9AE}" pid="9" name="MSIP_Label_fde7aacd-7cc4-4c31-9e6f-7ef306428f09_Extended_MSFT_Method">
    <vt:lpwstr>Manual</vt:lpwstr>
  </property>
  <property fmtid="{D5CDD505-2E9C-101B-9397-08002B2CF9AE}" pid="10" name="Sensitivity">
    <vt:lpwstr>#PUBLICO</vt:lpwstr>
  </property>
</Properties>
</file>